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wgwr5nb324yf" w:id="0"/>
      <w:bookmarkEnd w:id="0"/>
      <w:r w:rsidDel="00000000" w:rsidR="00000000" w:rsidRPr="00000000">
        <w:rPr>
          <w:b w:val="1"/>
          <w:rtl w:val="0"/>
        </w:rPr>
        <w:t xml:space="preserve">Universitas perlu memperkaya dunia, bukan hanya untuk segelintir orang</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rPr>
          <w:rFonts w:ascii="Roboto Condensed" w:cs="Roboto Condensed" w:eastAsia="Roboto Condensed" w:hAnsi="Roboto Condensed"/>
          <w:color w:val="666666"/>
          <w:sz w:val="23"/>
          <w:szCs w:val="23"/>
          <w:shd w:fill="f8f7f7" w:val="clear"/>
        </w:rPr>
      </w:pPr>
      <w:r w:rsidDel="00000000" w:rsidR="00000000" w:rsidRPr="00000000">
        <w:rPr>
          <w:rFonts w:ascii="Lora" w:cs="Lora" w:eastAsia="Lora" w:hAnsi="Lora"/>
          <w:b w:val="1"/>
          <w:i w:val="1"/>
          <w:color w:val="241f21"/>
          <w:sz w:val="24"/>
          <w:szCs w:val="24"/>
          <w:highlight w:val="white"/>
          <w:rtl w:val="0"/>
        </w:rPr>
        <w:t xml:space="preserve">Universitas yang mendapatkan keuntungan dengan mengambil yang terbaik dan tercerdas dari negara berkembang dapat membantu menyeimbangkan kembali ketidaksetaraan global.</w:t>
      </w: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Negara-negara maju mendapat banyak manfaat dari arus pelajar internasional. Gambar: Wan San Yip, Unsplash: Wan San Yip, Unsplash.</w:t>
      </w:r>
    </w:p>
    <w:p w:rsidR="00000000" w:rsidDel="00000000" w:rsidP="00000000" w:rsidRDefault="00000000" w:rsidRPr="00000000" w14:paraId="00000005">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tl w:val="0"/>
        </w:rPr>
      </w:r>
    </w:p>
    <w:p w:rsidR="00000000" w:rsidDel="00000000" w:rsidP="00000000" w:rsidRDefault="00000000" w:rsidRPr="00000000" w14:paraId="00000006">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Fonts w:ascii="Roboto Condensed" w:cs="Roboto Condensed" w:eastAsia="Roboto Condensed" w:hAnsi="Roboto Condensed"/>
          <w:color w:val="666666"/>
          <w:sz w:val="18"/>
          <w:szCs w:val="18"/>
          <w:highlight w:val="white"/>
          <w:rtl w:val="0"/>
        </w:rPr>
        <w:t xml:space="preserve">Published on April 11, 2022</w:t>
      </w:r>
    </w:p>
    <w:p w:rsidR="00000000" w:rsidDel="00000000" w:rsidP="00000000" w:rsidRDefault="00000000" w:rsidRPr="00000000" w14:paraId="00000007">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9">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Murali Chandrashekaran</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University of British Columbia</w:t>
      </w:r>
    </w:p>
    <w:p w:rsidR="00000000" w:rsidDel="00000000" w:rsidP="00000000" w:rsidRDefault="00000000" w:rsidRPr="00000000" w14:paraId="0000000B">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Andrew Jaspan</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Andrew Jaspan, Director and Editor-in-Chief, 360info</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 Phillips, Senior Commissioning Editor, 360info Asia Pacific</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Reece Hooker</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Reece Hooker, Assistant Producer, 360info Asia Pacific</w:t>
      </w:r>
    </w:p>
    <w:p w:rsidR="00000000" w:rsidDel="00000000" w:rsidP="00000000" w:rsidRDefault="00000000" w:rsidRPr="00000000" w14:paraId="00000012">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3">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10.54377/436a-fe0c</w:t>
      </w:r>
      <w:r w:rsidDel="00000000" w:rsidR="00000000" w:rsidRPr="00000000">
        <w:rPr>
          <w:rtl w:val="0"/>
        </w:rPr>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universitas di negara maju mencari kolaborasi yang lebih besar dan lebih adil dengan rekan-rekan mereka di negara berkembang. Dengan melakukan hal tersebut, mereka berharap dapat membangun dunia yang lebih adil, berkelanjutan, tangguh, dan berkembang.</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Hal ini akan sangat menginspirasi jika terwujud. Namun, cita-cita yang tinggi tersebut mengabaikan fakta bahwa universitas dan negara maju telah terlibat dalam apa yang disebut sebagai “penjajahan imigrasi”, yaitu bagaimana universitas-universitas terkemuka dari negara-negara kaya merekrut mahasiswa dari seluruh dunia, terutama dari negara-negara berpenghasilan rendah dan menengah.</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Manfaatnya bagi negara-negara di negara maju sangat signifikan.</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banyak negara, mahasiswa internasional diizinkan untuk bekerja saat mereka belajar; izin kerja pasca kelulusan memberikan pengalaman kerja kepada mahasiswa; dan membuka jalan untuk mendapatkan izin tinggal permanen. Menurut Biro Pendidikan Internasional Kanada, </w:t>
      </w:r>
      <w:hyperlink r:id="rId6">
        <w:r w:rsidDel="00000000" w:rsidR="00000000" w:rsidRPr="00000000">
          <w:rPr>
            <w:rFonts w:ascii="Lora" w:cs="Lora" w:eastAsia="Lora" w:hAnsi="Lora"/>
            <w:color w:val="0563c1"/>
            <w:sz w:val="24"/>
            <w:szCs w:val="24"/>
            <w:u w:val="single"/>
            <w:rtl w:val="0"/>
          </w:rPr>
          <w:t xml:space="preserve">60 persen</w:t>
        </w:r>
      </w:hyperlink>
      <w:r w:rsidDel="00000000" w:rsidR="00000000" w:rsidRPr="00000000">
        <w:rPr>
          <w:rFonts w:ascii="Lora" w:cs="Lora" w:eastAsia="Lora" w:hAnsi="Lora"/>
          <w:sz w:val="24"/>
          <w:szCs w:val="24"/>
          <w:rtl w:val="0"/>
        </w:rPr>
        <w:t xml:space="preserve"> mahasiswa internasional akan mencari tempat tinggal permanen di Kanada setelah studi mereka.</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Bagi banyak institusi pendidikan, merekrut mahasiswa internasional dalam jumlah besar merupakan sumber pendapatan yang penting. Dengan stagnasi pendaftaran mahasiswa domestik, universitas dan perguruan tinggi praktis tidak memiliki pilihan lain selain merekrut lebih banyak mahasiswa dari luar negeri untuk menopang diri mereka secara finansial.</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Mahasiswa internasional membayar biaya kuliah yang jauh lebih tinggi daripada mahasiswa domestik. Lebih banyak mahasiswa internasional juga berarti bahwa universitas memiliki nilai yang lebih tinggi pada kriteria yang berkontribusi pada peringkat universitas global.</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Mahasiswa pergi ke negara yang lebih kaya karena berbagai alasan, termasuk kesempatan pendidikan kelas dunia, lingkungan yang ramah, dan kualitas hidup. Dilihat dari sudut pandang mahasiswa internasional, migrasi merupakan pilihan individu yang berkaitan dengan tempat mereka belajar, tinggal dan mencari kesejahteraan.</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dilihat dari perspektif negara asal, juga melalui lensa keberlanjutan dan ketahanan, universitas terlibat dalam penjajahan imigrasi.</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Universitas di negara maju tidak secara langsung menjajah negara lain, tentu saja. Tetapi mereka membantu negara mereka sendiri untuk memenuhi kebutuhan masa depannya dengan secara langsung mengorbankan kemampuan negara sumber untuk memenuhi kebutuhan mereka. Hal ini mengurangi ketahanan jangka panjang dengan menghilangkan kapasitas vital yang dibutuhkan untuk mendorong kemakmuran.</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dampak dari penjajahan imigrasi dapat diimbangi oleh universitas-universitas yang mempromosikan kesetaraan dengan mahasiswa internasional dan negara tuan rumah mereka, dibandingkan dengan memfokuskan pekerjaan kesetaraan dan keragaman mereka hanya di kampus-kampus mereka.</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Komitmen seperti itu dapat memfasilitasi pengembangan kapasitas, yang </w:t>
      </w:r>
      <w:hyperlink r:id="rId7">
        <w:r w:rsidDel="00000000" w:rsidR="00000000" w:rsidRPr="00000000">
          <w:rPr>
            <w:rFonts w:ascii="Lora" w:cs="Lora" w:eastAsia="Lora" w:hAnsi="Lora"/>
            <w:color w:val="0563c1"/>
            <w:sz w:val="24"/>
            <w:szCs w:val="24"/>
            <w:u w:val="single"/>
            <w:rtl w:val="0"/>
          </w:rPr>
          <w:t xml:space="preserve">didefinisikan</w:t>
        </w:r>
      </w:hyperlink>
      <w:r w:rsidDel="00000000" w:rsidR="00000000" w:rsidRPr="00000000">
        <w:rPr>
          <w:rFonts w:ascii="Lora" w:cs="Lora" w:eastAsia="Lora" w:hAnsi="Lora"/>
          <w:sz w:val="24"/>
          <w:szCs w:val="24"/>
          <w:rtl w:val="0"/>
        </w:rPr>
        <w:t xml:space="preserve"> oleh United Nations Development Programme (UNDP) sebagai ketika “individu, organisasi, dan masyarakat memperoleh, memperkuat, dan mempertahankan kemampuan untuk menetapkan dan mencapai tujuan pembangunan mereka sendiri dari waktu ke waktu.”</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bukan tentang universitas di Barat yang berperan sebagai 'penyelamat'. Sebaliknya, upaya pengembangan kapasitas kolaboratif harus responsif terhadap </w:t>
      </w:r>
      <w:hyperlink r:id="rId8">
        <w:r w:rsidDel="00000000" w:rsidR="00000000" w:rsidRPr="00000000">
          <w:rPr>
            <w:rFonts w:ascii="Lora" w:cs="Lora" w:eastAsia="Lora" w:hAnsi="Lora"/>
            <w:color w:val="0563c1"/>
            <w:sz w:val="24"/>
            <w:szCs w:val="24"/>
            <w:u w:val="single"/>
            <w:rtl w:val="0"/>
          </w:rPr>
          <w:t xml:space="preserve">Deklarasi Paris 2005 dan Agenda Accra 2008</w:t>
        </w:r>
      </w:hyperlink>
      <w:r w:rsidDel="00000000" w:rsidR="00000000" w:rsidRPr="00000000">
        <w:rPr>
          <w:rFonts w:ascii="Lora" w:cs="Lora" w:eastAsia="Lora" w:hAnsi="Lora"/>
          <w:sz w:val="24"/>
          <w:szCs w:val="24"/>
          <w:rtl w:val="0"/>
        </w:rPr>
        <w:t xml:space="preserve"> tentang penggunaan bantuan yang efektif, dan atas undangan masyarakat di negara-negara berkembang. Upaya-upaya ini harus dipimpin secara lokal dan dilayani secara global, bukan sebaliknya.</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Penyeimbangan dapat membantu mengurangi ketidaksetaraan ketahanan dengan menyediakan akses yang lebih besar ke pendidikan. Nilai teknologi dalam menjangkau siswa telah ditunjukkan sejak awal pandemi. Kita mungkin akan sampai pada titik di mana jalan yang diaspal dengan teknologi memungkinkan akses yang lebih besar ke pendidikan untuk semua. Memanfaatkan teknologi secara konstruktif dalam kemitraan dengan penyedia teknologi membuka jalan bagi universitas untuk mengembangkan akses yang lebih baik ke pendidikan bagi populasi yang lebih terisolasi.</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Pengimbasan perlu melibatkan populasi yang beragam. Dampak dalam skala besar membutuhkan keterlibatan semua orang, tidak hanya fakultas dan mahasiswa. Pertimbangkan jika universitas menggunakan penggantian kerugian untuk membangun 'korps ketahanan' - sekelompok pembuat perbedaan yang akan memiliki dampak jangka panjang melalui tindakan langsung dan dipimpin oleh akar rumput.</w:t>
      </w:r>
    </w:p>
    <w:p w:rsidR="00000000" w:rsidDel="00000000" w:rsidP="00000000" w:rsidRDefault="00000000" w:rsidRPr="00000000" w14:paraId="0000002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Penggantian kerugian harus adil. Salah satu cara untuk melakukan pendekatan investasi adalah dengan menyelaraskan universitas dengan kesepakatan PBB yang mewajibkan negara-negara untuk menyisihkan 0,7 persen dari pendapatan nasional bruto tahunan untuk kegiatan bantuan internasional.</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Apabila sebuah universitas memiliki pendapatan sebesar US$2 miliar, ini berarti investasi tahunan sebesar US$14 juta pada tahun 2021-2022. Jika diekstrapolasikan ke seluruh universitas di Amerika Utara, hal ini dapat mewakili investasi di negara-negara berpenghasilan rendah hingga menengah dengan nilai sekitar US$4,7 miliar.</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Murali Chandrashekaran adalah Wakil Rektor Internasional di University of British Columbia, Profesor Fred H. Siller di Sauder School of Business UBC. Beliau juga menjabat sebagai Direktur </w:t>
      </w:r>
      <w:hyperlink r:id="rId9">
        <w:r w:rsidDel="00000000" w:rsidR="00000000" w:rsidRPr="00000000">
          <w:rPr>
            <w:rFonts w:ascii="Lora" w:cs="Lora" w:eastAsia="Lora" w:hAnsi="Lora"/>
            <w:color w:val="0563c1"/>
            <w:sz w:val="24"/>
            <w:szCs w:val="24"/>
            <w:u w:val="single"/>
            <w:rtl w:val="0"/>
          </w:rPr>
          <w:t xml:space="preserve">Collaborative for Urban Resilience &amp; Effectiveness (CURE)</w:t>
        </w:r>
      </w:hyperlink>
      <w:r w:rsidDel="00000000" w:rsidR="00000000" w:rsidRPr="00000000">
        <w:rPr>
          <w:rFonts w:ascii="Lora" w:cs="Lora" w:eastAsia="Lora" w:hAnsi="Lora"/>
          <w:sz w:val="24"/>
          <w:szCs w:val="24"/>
          <w:rtl w:val="0"/>
        </w:rPr>
        <w:t xml:space="preserve">, yang dikonseptualisasikan sebagai kolaborasi global untuk memobilisasi bakat, pengetahuan, dan pengalaman di berbagai disiplin ilmu, perguruan tinggi/universitas, organisasi masyarakat, kota, dan perusahaan untuk mendorong kemakmuran, inovasi, dan pembangunan perkotaan yang inklusif. Dr Chandrashekaran menyatakan tidak ada konflik kepentingan terkait artikel ini.</w:t>
      </w:r>
    </w:p>
    <w:p w:rsidR="00000000" w:rsidDel="00000000" w:rsidP="00000000" w:rsidRDefault="00000000" w:rsidRPr="00000000" w14:paraId="00000025">
      <w:pPr>
        <w:rPr/>
      </w:pPr>
      <w:r w:rsidDel="00000000" w:rsidR="00000000" w:rsidRPr="00000000">
        <w:rPr>
          <w:rFonts w:ascii="Nova Mono" w:cs="Nova Mono" w:eastAsia="Nova Mono" w:hAnsi="Nova Mono"/>
          <w:sz w:val="24"/>
          <w:szCs w:val="24"/>
          <w:rtl w:val="0"/>
        </w:rPr>
        <w:t xml:space="preserve">Artikel ini diterbitkan di bawah </w:t>
      </w:r>
      <w:hyperlink r:id="rId10">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11">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360info.org/" TargetMode="External"/><Relationship Id="rId10" Type="http://schemas.openxmlformats.org/officeDocument/2006/relationships/hyperlink" Target="https://creativecommons.org/licenses/by/4.0/" TargetMode="External"/><Relationship Id="rId9" Type="http://schemas.openxmlformats.org/officeDocument/2006/relationships/hyperlink" Target="https://www.sauder.ubc.ca/thought-leadership/research-outreach-centres/cure" TargetMode="External"/><Relationship Id="rId5" Type="http://schemas.openxmlformats.org/officeDocument/2006/relationships/styles" Target="styles.xml"/><Relationship Id="rId6" Type="http://schemas.openxmlformats.org/officeDocument/2006/relationships/hyperlink" Target="https://cbie.ca/wp-content/uploads/2018/08/Student_Voice_Report-ENG.pdf" TargetMode="External"/><Relationship Id="rId7" Type="http://schemas.openxmlformats.org/officeDocument/2006/relationships/hyperlink" Target="https://www.undp.org/sites/g/files/zskgke326/files/publications/PN_Capacity_Development.pdf" TargetMode="External"/><Relationship Id="rId8" Type="http://schemas.openxmlformats.org/officeDocument/2006/relationships/hyperlink" Target="https://www.oecd.org/dac/effectiveness/parisdeclarationandaccraagendaforaction.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